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34"/>
        <w:rPr>
          <w:sz w:val="20"/>
        </w:rPr>
      </w:pPr>
      <w:r>
        <w:rPr>
          <w:sz w:val="20"/>
        </w:rPr>
        <w:drawing>
          <wp:inline distT="0" distB="0" distL="0" distR="0">
            <wp:extent cx="1395187" cy="8618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8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60" w:h="16850"/>
          <w:pgMar w:top="460" w:bottom="280" w:left="720" w:right="42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41"/>
      </w:pPr>
      <w:r>
        <w:rPr/>
        <w:t>03 July </w:t>
      </w:r>
      <w:r>
        <w:rPr>
          <w:spacing w:val="-4"/>
        </w:rPr>
        <w:t>2023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8"/>
        <w:rPr>
          <w:sz w:val="40"/>
        </w:rPr>
      </w:pPr>
    </w:p>
    <w:p>
      <w:pPr>
        <w:pStyle w:val="Title"/>
      </w:pPr>
      <w:r>
        <w:rPr/>
        <w:t>CERTIFICATE OF </w:t>
      </w:r>
      <w:r>
        <w:rPr>
          <w:spacing w:val="-2"/>
        </w:rPr>
        <w:t>CURRENCY</w:t>
      </w:r>
    </w:p>
    <w:p>
      <w:pPr>
        <w:pStyle w:val="BodyText"/>
        <w:spacing w:before="69"/>
        <w:ind w:left="131" w:right="2317"/>
        <w:jc w:val="center"/>
      </w:pPr>
      <w:r>
        <w:rPr/>
        <w:t>Comcover confirms having effected coverage as detailed </w:t>
      </w:r>
      <w:r>
        <w:rPr>
          <w:spacing w:val="-2"/>
        </w:rPr>
        <w:t>below.</w:t>
      </w:r>
    </w:p>
    <w:p>
      <w:pPr>
        <w:spacing w:after="0"/>
        <w:jc w:val="center"/>
        <w:sectPr>
          <w:type w:val="continuous"/>
          <w:pgSz w:w="11960" w:h="16850"/>
          <w:pgMar w:top="460" w:bottom="280" w:left="720" w:right="420"/>
          <w:cols w:num="2" w:equalWidth="0">
            <w:col w:w="1422" w:space="750"/>
            <w:col w:w="8648"/>
          </w:cols>
        </w:sect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6520"/>
      </w:tblGrid>
      <w:tr>
        <w:trPr>
          <w:trHeight w:val="800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Fund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Department of Industry Science and </w:t>
            </w:r>
            <w:r>
              <w:rPr>
                <w:spacing w:val="-2"/>
                <w:sz w:val="24"/>
              </w:rPr>
              <w:t>Resources</w:t>
            </w:r>
          </w:p>
        </w:tc>
      </w:tr>
      <w:tr>
        <w:trPr>
          <w:trHeight w:val="436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Membership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CC100443</w:t>
            </w:r>
          </w:p>
        </w:tc>
      </w:tr>
      <w:tr>
        <w:trPr>
          <w:trHeight w:val="436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Period of </w:t>
            </w:r>
            <w:r>
              <w:rPr>
                <w:b/>
                <w:spacing w:val="-2"/>
                <w:sz w:val="24"/>
              </w:rPr>
              <w:t>Cover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 July 2023 to 30 June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436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Class of </w:t>
            </w:r>
            <w:r>
              <w:rPr>
                <w:b/>
                <w:spacing w:val="-2"/>
                <w:sz w:val="24"/>
              </w:rPr>
              <w:t>Cover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 </w:t>
            </w:r>
            <w:r>
              <w:rPr>
                <w:spacing w:val="-2"/>
                <w:sz w:val="24"/>
              </w:rPr>
              <w:t>Liability</w:t>
            </w:r>
          </w:p>
        </w:tc>
      </w:tr>
      <w:tr>
        <w:trPr>
          <w:trHeight w:val="1220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32" w:lineRule="auto" w:before="208"/>
              <w:ind w:left="37"/>
              <w:rPr>
                <w:sz w:val="24"/>
              </w:rPr>
            </w:pPr>
            <w:r>
              <w:rPr>
                <w:b/>
                <w:sz w:val="24"/>
              </w:rPr>
              <w:t>Scope of Cover (Summary Only)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Comcover Statement of Cover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2" w:lineRule="auto" w:before="208"/>
              <w:ind w:right="2144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liability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compensation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for: Injury (including death)</w:t>
            </w:r>
          </w:p>
          <w:p>
            <w:pPr>
              <w:pStyle w:val="TableParagraph"/>
              <w:spacing w:line="267" w:lineRule="exact" w:before="0"/>
              <w:rPr>
                <w:sz w:val="24"/>
              </w:rPr>
            </w:pPr>
            <w:r>
              <w:rPr>
                <w:sz w:val="24"/>
              </w:rPr>
              <w:t>Loss of or damage to </w:t>
            </w:r>
            <w:r>
              <w:rPr>
                <w:spacing w:val="-2"/>
                <w:sz w:val="24"/>
              </w:rPr>
              <w:t>property</w:t>
            </w:r>
          </w:p>
        </w:tc>
      </w:tr>
      <w:tr>
        <w:trPr>
          <w:trHeight w:val="760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Limit of </w:t>
            </w:r>
            <w:r>
              <w:rPr>
                <w:b/>
                <w:spacing w:val="-2"/>
                <w:sz w:val="24"/>
              </w:rPr>
              <w:t>Liability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$20,000,000</w:t>
            </w:r>
          </w:p>
        </w:tc>
      </w:tr>
      <w:tr>
        <w:trPr>
          <w:trHeight w:val="640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76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Location/s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As declared in the Schedule of </w:t>
            </w:r>
            <w:r>
              <w:rPr>
                <w:spacing w:val="-2"/>
                <w:sz w:val="24"/>
              </w:rPr>
              <w:t>Assets</w:t>
            </w:r>
          </w:p>
        </w:tc>
      </w:tr>
      <w:tr>
        <w:trPr>
          <w:trHeight w:val="350" w:hRule="atLeast"/>
        </w:trPr>
        <w:tc>
          <w:tcPr>
            <w:tcW w:w="406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3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Geographical </w:t>
            </w:r>
            <w:r>
              <w:rPr>
                <w:b/>
                <w:spacing w:val="-2"/>
                <w:sz w:val="24"/>
              </w:rPr>
              <w:t>Limits</w:t>
            </w:r>
          </w:p>
        </w:tc>
        <w:tc>
          <w:tcPr>
            <w:tcW w:w="65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Worldwide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BodyText"/>
        <w:spacing w:line="232" w:lineRule="auto" w:before="97"/>
        <w:ind w:left="141" w:right="182"/>
      </w:pPr>
      <w:r>
        <w:rPr/>
        <w:t>This certificate is issued as a matter of information only and confers no rights upon the certificate holder. This</w:t>
      </w:r>
      <w:r>
        <w:rPr>
          <w:spacing w:val="-2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amend,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alter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afforded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Comcover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Cover.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71" w:lineRule="exact"/>
        <w:ind w:left="141"/>
      </w:pPr>
      <w:r>
        <w:rPr>
          <w:spacing w:val="-2"/>
        </w:rPr>
        <w:t>Comcover</w:t>
      </w:r>
    </w:p>
    <w:p>
      <w:pPr>
        <w:pStyle w:val="BodyText"/>
        <w:spacing w:line="232" w:lineRule="auto" w:before="2"/>
        <w:ind w:left="141" w:right="7003"/>
      </w:pPr>
      <w:r>
        <w:rPr/>
        <w:t>Risk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Insurance</w:t>
      </w:r>
      <w:r>
        <w:rPr>
          <w:spacing w:val="-10"/>
        </w:rPr>
        <w:t> </w:t>
      </w:r>
      <w:r>
        <w:rPr/>
        <w:t>Branch Department of Finance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line="463" w:lineRule="auto" w:before="0"/>
        <w:ind w:left="2728" w:right="2941" w:firstLine="342"/>
        <w:jc w:val="left"/>
        <w:rPr>
          <w:sz w:val="16"/>
        </w:rPr>
      </w:pPr>
      <w:r>
        <w:rPr>
          <w:sz w:val="16"/>
        </w:rPr>
        <w:t>One Canberra Avenue, Forrest ACT 2603 • Toll Free 1800 651 540</w:t>
      </w:r>
      <w:r>
        <w:rPr>
          <w:spacing w:val="40"/>
          <w:sz w:val="16"/>
        </w:rPr>
        <w:t> </w:t>
      </w:r>
      <w:r>
        <w:rPr>
          <w:sz w:val="16"/>
        </w:rPr>
        <w:t>Internet</w:t>
      </w:r>
      <w:r>
        <w:rPr>
          <w:spacing w:val="-6"/>
          <w:sz w:val="16"/>
        </w:rPr>
        <w:t> </w:t>
      </w:r>
      <w:hyperlink r:id="rId6">
        <w:r>
          <w:rPr>
            <w:sz w:val="16"/>
          </w:rPr>
          <w:t>www.finance.gov.au/comcover</w:t>
        </w:r>
      </w:hyperlink>
      <w:r>
        <w:rPr>
          <w:spacing w:val="27"/>
          <w:sz w:val="16"/>
        </w:rPr>
        <w:t> </w:t>
      </w:r>
      <w:r>
        <w:rPr>
          <w:sz w:val="16"/>
        </w:rPr>
        <w:t>•</w:t>
      </w:r>
      <w:r>
        <w:rPr>
          <w:spacing w:val="-6"/>
          <w:sz w:val="16"/>
        </w:rPr>
        <w:t> </w:t>
      </w:r>
      <w:r>
        <w:rPr>
          <w:sz w:val="16"/>
        </w:rPr>
        <w:t>Email</w:t>
      </w:r>
      <w:r>
        <w:rPr>
          <w:spacing w:val="-6"/>
          <w:sz w:val="16"/>
        </w:rPr>
        <w:t> </w:t>
      </w:r>
      <w:hyperlink r:id="rId7">
        <w:r>
          <w:rPr>
            <w:sz w:val="16"/>
          </w:rPr>
          <w:t>comcover@comcover.com.au</w:t>
        </w:r>
      </w:hyperlink>
    </w:p>
    <w:sectPr>
      <w:type w:val="continuous"/>
      <w:pgSz w:w="11960" w:h="16850"/>
      <w:pgMar w:top="460" w:bottom="280" w:left="7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1" w:right="231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3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inance.gov.au/comcover" TargetMode="External"/><Relationship Id="rId7" Type="http://schemas.openxmlformats.org/officeDocument/2006/relationships/hyperlink" Target="mailto:comcover@comcover.com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CofCGLForm</dc:title>
  <dcterms:created xsi:type="dcterms:W3CDTF">2023-07-05T05:45:03Z</dcterms:created>
  <dcterms:modified xsi:type="dcterms:W3CDTF">2023-07-05T05:45:03Z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 Reporting Services 13.0.0.0</vt:lpwstr>
  </property>
  <property fmtid="{D5CDD505-2E9C-101B-9397-08002B2CF9AE}" pid="4" name="Producer">
    <vt:lpwstr>Microsoft Reporting Services PDF Rendering Extension 13.0.0.0</vt:lpwstr>
  </property>
  <property fmtid="{D5CDD505-2E9C-101B-9397-08002B2CF9AE}" pid="5" name="LastSaved">
    <vt:filetime>2023-07-03T00:00:00Z</vt:filetime>
  </property>
</Properties>
</file>